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Na podlagi tretjega odstavka 142. člena Zakona o dohodnini (Uradni list RS, št. 117/06) izdaja Vlada Republike Slovenije</w:t>
      </w:r>
    </w:p>
    <w:p w:rsidR="00013BD2" w:rsidRDefault="00013BD2">
      <w:pPr>
        <w:spacing w:after="210" w:line="360" w:lineRule="atLeast"/>
        <w:jc w:val="center"/>
        <w:rPr>
          <w:rFonts w:ascii="Arial" w:hAnsi="Arial" w:cs="Arial"/>
          <w:b/>
          <w:bCs/>
          <w:color w:val="6B7E9D"/>
          <w:sz w:val="23"/>
          <w:szCs w:val="23"/>
          <w:lang w:eastAsia="sl-SI"/>
        </w:rPr>
      </w:pPr>
      <w:r>
        <w:rPr>
          <w:rFonts w:ascii="Arial" w:hAnsi="Arial" w:cs="Arial"/>
          <w:b/>
          <w:bCs/>
          <w:color w:val="6B7E9D"/>
          <w:sz w:val="23"/>
          <w:szCs w:val="23"/>
          <w:lang w:eastAsia="sl-SI"/>
        </w:rPr>
        <w:t>U R E D B O</w:t>
      </w:r>
      <w:r>
        <w:rPr>
          <w:rFonts w:ascii="Arial" w:hAnsi="Arial" w:cs="Arial"/>
          <w:b/>
          <w:bCs/>
          <w:color w:val="6B7E9D"/>
          <w:sz w:val="23"/>
          <w:szCs w:val="23"/>
          <w:lang w:eastAsia="sl-SI"/>
        </w:rPr>
        <w:br/>
        <w:t>o namenitvi dela dohodnine za donacije</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1.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S to uredbo se urejajo določitev seznama upravičencev do donacij (v nadaljnjem besedilu: upravičenci), namenitev dela dohodnine, nakazovanje donacij upravičencem ter obveščanje javnosti.</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2.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(1) Upravičenci za leto, za katero se odmerja dohodnina, so upravičenci, ki na dan 31. decembra prejšnjega leta izpolnjujejo pogoje iz prvega in drugega odstavka 142. člena Zakona o dohodnini (Uradni list RS, št. 117/06, v nadaljnjem besedilu: ZDoh-2).</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(2) Organi, pristojni za področja, na katerih delujejo upravičenci, najpozneje do 28. februarja ministrstvu, pristojnemu za finance, pošljejo podatke o upravičencih za leto, za katero se odmerja dohodnina. Podatki se pošljejo pisno in po elektronski poti.</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(3) Podatki iz prejšnjega odstavka so:</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ime oziroma naziv upravičenca,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naslov sedeža upravičenca,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davčna številka upravičenca, če organ, ki vodi register oziroma evidenco, z njo razpolaga, oziroma druga identifikacijska številka, s katero organ razpolaga,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številka transakcijskega računa upravičenca, če organ, ki vodi register oziroma evidenco, z njo razpolaga.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(4) Vlada na predlog ministra, pristojnega za finance, najpozneje do 31. julija določi seznam upravičencev za leto, za katero se odmerja dohodnina. Seznam se objavi v Uradnem listu Republike Slovenije. Objavljen seznam lahko vsebuje tudi le spremembe in dopolnitve glede na predhodno objavljen seznam.</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3.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(1) Davčni zavezanec, ki je rezident Republike Slovenije v skladu z zakonom, ki ureja dohodnino (v nadaljnjem besedilu: davčni zavezanec), lahko do 0,5 odstotka dohodnine, odmerjene z dokončno odločbo od njegovih dohodkov, ki se vštevajo v letno davčno osnovo, nameni enemu ali več upravičencem s seznama iz 2. člena te uredbe.</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(2) Davčni zavezanec lahko posameznemu upravičencu nameni 0,1 odstotka, 0,2 odstotka, 0,3 odstotka, 0,4 odstotka ali 0,5 odstotka dohodnine.</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(3) Davčni zavezanec lahko da zahtevo za namenitev kadar koli prek sistema eDavki na spletni strani http://edavki.durs.si, pisno ali ustno na zapisnik pri davčnem organu. Podatki o namenitvi dohodnine iz tretjega odstavka tega člena se štejejo za davčno tajnost in se smejo razkriti tretjim osebam samo na podlagi pisnega soglasja davčnega zavezanca, ki je namenil del dohodnine za donacije.</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(4) Iz zahteve iz prejšnjega odstavka morajo biti razvidni:</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ime, naslov in davčna številka davčnega zavezanca,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 ime oziroma naziv in davčna številka vsakega upravičenca, ki se mu namenja del dohodnine, ter del dohodnine, ki se mu namenja, skladno z drugim odstavkom tega člena.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(5) Zahteva iz tretjega odstavka tega člena velja do trenutka, ko davčni organ prejme novo zahtevo ali preklic zahteve.</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4.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(1) Davčni organ nakaže upravičencem donacije iz namenitve dela dohodnine do 15. dne v vsakem mesecu za namenitve na podlagi vseh odločb o odmeri dohodnine, ki so v preteklem mesecu postale dokončne. Pri tem davčni organ upošteva veljavne zahteve iz 3. člena te uredbe, s katerimi razpolaga na dan 31. decembra leta, za katero se odmerja dohodnina.</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(2) Davčni organ nakaže donacijo posameznemu upravičencu, če je znesek njemu namenjene donacije, ugotovljen v skladu s prejšnjim odstavkom, višji kot en euro.</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(3) Če se pri nakazilu donacije ugotovi, da upravičenec ne obstaja, namenjena dohodnina pripade proračunu Republike Slovenije.</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5.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Davčni organ v letnem poročilu iz drugega odstavka 2. člena Zakona o davčni službi (Uradni list RS, št. 1/07 - uradno prečiščeno besedilo) objavi tudi podatke o nakazanih donacijah v preteklem letu.</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6.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(1) Ne glede na prvi odstavek 2. člena te uredbe so upravičenci za leto 2007 tudi upravičenci, ki na dan 30. septembra 2007 izpolnjujejo pogoje iz prvega in drugega odstavka 142. člena ZDoh-2.</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(2) Ne glede na prvi stavek tretjega odstavka 3. člena te uredbe lahko davčni zavezanec da zahtevo za namenitev dela dohodnine tudi v predizpolnjeni napovedi za odmero dohodnine za leto 2006. Če davčni zavezanec ni prejel predizpolnjene napovedi za odmero dohodnine za leto 2006 v roku, določenem z zakonom, in mora sam vložiti napoved za odmero dohodnine za leto 2006, lahko da zahtevo za namenitev dela dohodnine v tej napovedi.</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(3) Ne glede na drugi in četrti odstavek 2. člena te uredbe Vlada Republike Slovenije objavi seznam upravičencev za leto 2007 v Prilogi 1, ki je priloga in sestavni del te uredbe. Po 30. septembru 2007 vlada objavi dokončen seznam upravičencev za leto 2007, ki vključuje tudi upravičence iz prvega odstavka tega člena.</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7. člen</w:t>
      </w:r>
    </w:p>
    <w:p w:rsidR="00013BD2" w:rsidRDefault="00013BD2">
      <w:pPr>
        <w:spacing w:after="210" w:line="240" w:lineRule="auto"/>
        <w:ind w:firstLine="240"/>
        <w:jc w:val="both"/>
        <w:rPr>
          <w:rFonts w:ascii="Arial" w:hAnsi="Arial" w:cs="Arial"/>
          <w:color w:val="333333"/>
          <w:sz w:val="18"/>
          <w:szCs w:val="18"/>
          <w:lang w:eastAsia="sl-SI"/>
        </w:rPr>
      </w:pPr>
      <w:r>
        <w:rPr>
          <w:rFonts w:ascii="Arial" w:hAnsi="Arial" w:cs="Arial"/>
          <w:color w:val="333333"/>
          <w:sz w:val="18"/>
          <w:szCs w:val="18"/>
          <w:lang w:eastAsia="sl-SI"/>
        </w:rPr>
        <w:t>Ta uredba začne veljati naslednji dan po objavi v Uradnem listu Republike Slovenije.</w:t>
      </w:r>
    </w:p>
    <w:p w:rsidR="00013BD2" w:rsidRDefault="00013BD2">
      <w:pPr>
        <w:spacing w:after="210" w:line="240" w:lineRule="auto"/>
        <w:rPr>
          <w:rFonts w:ascii="Arial" w:hAnsi="Arial" w:cs="Arial"/>
          <w:color w:val="333333"/>
          <w:sz w:val="18"/>
          <w:szCs w:val="18"/>
          <w:lang w:eastAsia="sl-SI"/>
        </w:rPr>
      </w:pPr>
      <w:r>
        <w:rPr>
          <w:rFonts w:ascii="Arial" w:hAnsi="Arial" w:cs="Arial"/>
          <w:color w:val="333333"/>
          <w:sz w:val="18"/>
          <w:szCs w:val="18"/>
          <w:lang w:eastAsia="sl-SI"/>
        </w:rPr>
        <w:t>Št. 00712-10/2007/13</w:t>
      </w:r>
    </w:p>
    <w:p w:rsidR="00013BD2" w:rsidRDefault="00013BD2">
      <w:pPr>
        <w:spacing w:after="210" w:line="240" w:lineRule="auto"/>
        <w:rPr>
          <w:rFonts w:ascii="Arial" w:hAnsi="Arial" w:cs="Arial"/>
          <w:color w:val="333333"/>
          <w:sz w:val="18"/>
          <w:szCs w:val="18"/>
          <w:lang w:eastAsia="sl-SI"/>
        </w:rPr>
      </w:pPr>
      <w:r>
        <w:rPr>
          <w:rFonts w:ascii="Arial" w:hAnsi="Arial" w:cs="Arial"/>
          <w:color w:val="333333"/>
          <w:sz w:val="18"/>
          <w:szCs w:val="18"/>
          <w:lang w:eastAsia="sl-SI"/>
        </w:rPr>
        <w:t>Ljubljana, dne 22. marca 2007</w:t>
      </w:r>
    </w:p>
    <w:p w:rsidR="00013BD2" w:rsidRDefault="00013BD2">
      <w:pPr>
        <w:spacing w:after="210" w:line="240" w:lineRule="auto"/>
        <w:rPr>
          <w:rFonts w:ascii="Arial" w:hAnsi="Arial" w:cs="Arial"/>
          <w:color w:val="333333"/>
          <w:sz w:val="18"/>
          <w:szCs w:val="18"/>
          <w:lang w:eastAsia="sl-SI"/>
        </w:rPr>
      </w:pPr>
      <w:r>
        <w:rPr>
          <w:rFonts w:ascii="Arial" w:hAnsi="Arial" w:cs="Arial"/>
          <w:color w:val="333333"/>
          <w:sz w:val="18"/>
          <w:szCs w:val="18"/>
          <w:lang w:eastAsia="sl-SI"/>
        </w:rPr>
        <w:t>EVA 2007-1611-0030</w:t>
      </w:r>
    </w:p>
    <w:p w:rsidR="00013BD2" w:rsidRDefault="00013BD2">
      <w:pPr>
        <w:spacing w:after="210" w:line="240" w:lineRule="auto"/>
        <w:jc w:val="center"/>
        <w:rPr>
          <w:rFonts w:ascii="Arial" w:hAnsi="Arial" w:cs="Arial"/>
          <w:b/>
          <w:bCs/>
          <w:color w:val="333333"/>
          <w:sz w:val="18"/>
          <w:szCs w:val="18"/>
          <w:lang w:eastAsia="sl-SI"/>
        </w:rPr>
      </w:pPr>
      <w:r>
        <w:rPr>
          <w:rFonts w:ascii="Arial" w:hAnsi="Arial" w:cs="Arial"/>
          <w:b/>
          <w:bCs/>
          <w:color w:val="333333"/>
          <w:sz w:val="18"/>
          <w:szCs w:val="18"/>
          <w:lang w:eastAsia="sl-SI"/>
        </w:rPr>
        <w:t>Vlada Republike Slovenije</w:t>
      </w:r>
    </w:p>
    <w:p w:rsidR="00013BD2" w:rsidRDefault="00013BD2">
      <w:pPr>
        <w:spacing w:after="210" w:line="240" w:lineRule="auto"/>
        <w:jc w:val="center"/>
        <w:rPr>
          <w:rFonts w:ascii="Arial" w:hAnsi="Arial" w:cs="Arial"/>
          <w:color w:val="333333"/>
          <w:sz w:val="18"/>
          <w:szCs w:val="18"/>
          <w:lang w:eastAsia="sl-SI"/>
        </w:rPr>
      </w:pPr>
      <w:r>
        <w:rPr>
          <w:rFonts w:ascii="Arial" w:hAnsi="Arial" w:cs="Arial"/>
          <w:color w:val="333333"/>
          <w:sz w:val="18"/>
          <w:szCs w:val="18"/>
          <w:lang w:eastAsia="sl-SI"/>
        </w:rPr>
        <w:t>Janez Janša l.r.</w:t>
      </w:r>
      <w:r>
        <w:rPr>
          <w:rFonts w:ascii="Arial" w:hAnsi="Arial" w:cs="Arial"/>
          <w:color w:val="333333"/>
          <w:sz w:val="18"/>
          <w:szCs w:val="18"/>
          <w:lang w:eastAsia="sl-SI"/>
        </w:rPr>
        <w:br/>
        <w:t>Predsednik</w:t>
      </w:r>
    </w:p>
    <w:p w:rsidR="00013BD2" w:rsidRDefault="00013BD2">
      <w:pPr>
        <w:rPr>
          <w:rFonts w:ascii="Times New Roman" w:hAnsi="Times New Roman" w:cs="Times New Roman"/>
        </w:rPr>
      </w:pPr>
    </w:p>
    <w:sectPr w:rsidR="00013BD2" w:rsidSect="00013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BD2"/>
    <w:rsid w:val="00013BD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gmentt1">
    <w:name w:val="esegment_t1"/>
    <w:basedOn w:val="Normal"/>
    <w:uiPriority w:val="99"/>
    <w:pPr>
      <w:spacing w:after="210" w:line="360" w:lineRule="atLeast"/>
      <w:jc w:val="center"/>
    </w:pPr>
    <w:rPr>
      <w:rFonts w:ascii="Times New Roman" w:hAnsi="Times New Roman" w:cstheme="minorBidi"/>
      <w:b/>
      <w:bCs/>
      <w:color w:val="6B7E9D"/>
      <w:sz w:val="31"/>
      <w:szCs w:val="31"/>
      <w:lang w:eastAsia="sl-SI"/>
    </w:rPr>
  </w:style>
  <w:style w:type="paragraph" w:customStyle="1" w:styleId="esegmenth41">
    <w:name w:val="esegment_h41"/>
    <w:basedOn w:val="Normal"/>
    <w:uiPriority w:val="99"/>
    <w:pPr>
      <w:spacing w:after="210" w:line="240" w:lineRule="auto"/>
      <w:jc w:val="center"/>
    </w:pPr>
    <w:rPr>
      <w:rFonts w:ascii="Times New Roman" w:hAnsi="Times New Roman" w:cstheme="minorBidi"/>
      <w:b/>
      <w:bCs/>
      <w:color w:val="333333"/>
      <w:sz w:val="18"/>
      <w:szCs w:val="18"/>
      <w:lang w:eastAsia="sl-SI"/>
    </w:rPr>
  </w:style>
  <w:style w:type="paragraph" w:customStyle="1" w:styleId="esegmentc11">
    <w:name w:val="esegment_c11"/>
    <w:basedOn w:val="Normal"/>
    <w:uiPriority w:val="99"/>
    <w:pPr>
      <w:spacing w:after="210" w:line="240" w:lineRule="auto"/>
    </w:pPr>
    <w:rPr>
      <w:rFonts w:ascii="Times New Roman" w:hAnsi="Times New Roman" w:cstheme="minorBidi"/>
      <w:color w:val="333333"/>
      <w:sz w:val="18"/>
      <w:szCs w:val="18"/>
      <w:lang w:eastAsia="sl-SI"/>
    </w:rPr>
  </w:style>
  <w:style w:type="paragraph" w:customStyle="1" w:styleId="esegmentp11">
    <w:name w:val="esegment_p11"/>
    <w:basedOn w:val="Normal"/>
    <w:uiPriority w:val="99"/>
    <w:pPr>
      <w:spacing w:after="210" w:line="240" w:lineRule="auto"/>
      <w:jc w:val="center"/>
    </w:pPr>
    <w:rPr>
      <w:rFonts w:ascii="Times New Roman" w:hAnsi="Times New Roman" w:cstheme="minorBidi"/>
      <w:color w:val="333333"/>
      <w:sz w:val="18"/>
      <w:szCs w:val="18"/>
      <w:lang w:eastAsia="sl-SI"/>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700</Words>
  <Characters>3995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tretjega odstavka 142</dc:title>
  <dc:subject/>
  <dc:creator>Darja</dc:creator>
  <cp:keywords/>
  <dc:description/>
  <cp:lastModifiedBy>Muzeji Radovljiške občine</cp:lastModifiedBy>
  <cp:revision>2</cp:revision>
  <cp:lastPrinted>2012-12-07T07:59:00Z</cp:lastPrinted>
  <dcterms:created xsi:type="dcterms:W3CDTF">2012-12-17T10:49:00Z</dcterms:created>
  <dcterms:modified xsi:type="dcterms:W3CDTF">2012-12-17T10:49:00Z</dcterms:modified>
</cp:coreProperties>
</file>